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B365E8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RESEARCH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B365E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PROJECT MANAGER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B365E8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B365E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INQUBATE</w:t>
      </w:r>
    </w:p>
    <w:p w:rsidR="00133EFD" w:rsidRPr="0087473C" w:rsidRDefault="00B365E8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B365E8">
        <w:rPr>
          <w:b/>
          <w:bCs/>
          <w:sz w:val="21"/>
          <w:szCs w:val="21"/>
        </w:rPr>
        <w:t>RO05/2018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87473C" w:rsidRDefault="00B365E8" w:rsidP="009F238A">
      <w:pPr>
        <w:pStyle w:val="Default"/>
        <w:spacing w:line="276" w:lineRule="auto"/>
        <w:rPr>
          <w:sz w:val="21"/>
          <w:szCs w:val="21"/>
        </w:rPr>
      </w:pPr>
      <w:r w:rsidRPr="004B6A7F">
        <w:rPr>
          <w:sz w:val="21"/>
          <w:szCs w:val="21"/>
        </w:rPr>
        <w:t xml:space="preserve">The incumbent is required to manage UKZN InQubate’s project management </w:t>
      </w:r>
      <w:r>
        <w:rPr>
          <w:sz w:val="21"/>
          <w:szCs w:val="21"/>
        </w:rPr>
        <w:t>services</w:t>
      </w:r>
      <w:r w:rsidRPr="004B6A7F">
        <w:rPr>
          <w:sz w:val="21"/>
          <w:szCs w:val="21"/>
        </w:rPr>
        <w:t xml:space="preserve">. </w:t>
      </w:r>
      <w:r>
        <w:rPr>
          <w:sz w:val="21"/>
          <w:szCs w:val="21"/>
        </w:rPr>
        <w:t>S/he will be responsible for comprehensive management of the Technology Transfer Office’s projects in terms of tracking progress, budget usage, IP protection, general administration and reporting internally and to funders</w:t>
      </w:r>
      <w:r w:rsidRPr="004B6A7F">
        <w:rPr>
          <w:sz w:val="21"/>
          <w:szCs w:val="21"/>
        </w:rPr>
        <w:t xml:space="preserve">. S/he will be required to meet frequently with </w:t>
      </w:r>
      <w:r>
        <w:rPr>
          <w:sz w:val="21"/>
          <w:szCs w:val="21"/>
        </w:rPr>
        <w:t>academics, administrators, various internal and external stakeholders, and industry to advance existing projects and source new projects.</w:t>
      </w: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Pr="00B365E8" w:rsidRDefault="00B365E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Bachelors’ degree in Science or Commerce plus a relevant Masters’ degree;</w:t>
      </w:r>
    </w:p>
    <w:p w:rsidR="00B365E8" w:rsidRPr="00B365E8" w:rsidRDefault="00B365E8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Four (4) years’ project management experience of which two (2) years’ should be in a research and innovation environment;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Extensive knowledge of available expertise and resources at the University;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Strong negotiation and interpersonal skills and an ability to resolve issues of conflict;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Market awareness both in SA and internationally particularly of the expectations of industry and government in relation to Higher Education Institutions (HEIs);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Sales and marketing skills.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Own transport required in order to ensure freedom to engage with and attend meetings with stakeholders on each of the university campuses, as well as outside the university.</w:t>
      </w:r>
    </w:p>
    <w:p w:rsidR="00B365E8" w:rsidRDefault="00B365E8" w:rsidP="00B365E8">
      <w:pPr>
        <w:pStyle w:val="Default"/>
        <w:spacing w:before="120" w:after="120" w:line="276" w:lineRule="auto"/>
        <w:rPr>
          <w:sz w:val="21"/>
          <w:szCs w:val="21"/>
        </w:rPr>
      </w:pPr>
      <w:r w:rsidRPr="00B365E8">
        <w:rPr>
          <w:b/>
          <w:bCs/>
          <w:sz w:val="21"/>
          <w:szCs w:val="21"/>
        </w:rPr>
        <w:t>Advantages</w:t>
      </w:r>
      <w:r>
        <w:rPr>
          <w:sz w:val="21"/>
          <w:szCs w:val="21"/>
        </w:rPr>
        <w:t>: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An interest in University Research and its commercialisation;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Excellent presentation skills; </w:t>
      </w:r>
    </w:p>
    <w:p w:rsidR="00B365E8" w:rsidRDefault="00B365E8" w:rsidP="00B365E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Ability to work under pressure, with high volumes of work and tight deadlines;</w:t>
      </w:r>
    </w:p>
    <w:p w:rsidR="00B365E8" w:rsidRPr="00B365E8" w:rsidRDefault="00B365E8" w:rsidP="00CA2CB7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sz w:val="21"/>
          <w:szCs w:val="21"/>
        </w:rPr>
      </w:pPr>
      <w:r w:rsidRPr="00B365E8">
        <w:rPr>
          <w:rFonts w:ascii="Century Gothic" w:hAnsi="Century Gothic" w:cs="Century Gothic"/>
          <w:sz w:val="21"/>
          <w:szCs w:val="21"/>
        </w:rPr>
        <w:t xml:space="preserve">Ability to engage and interact confidently with senior academics, researchers and </w:t>
      </w:r>
      <w:r>
        <w:rPr>
          <w:rFonts w:ascii="Century Gothic" w:hAnsi="Century Gothic" w:cs="Century Gothic"/>
          <w:sz w:val="21"/>
          <w:szCs w:val="21"/>
        </w:rPr>
        <w:t>external stakeholders;</w:t>
      </w:r>
    </w:p>
    <w:p w:rsidR="00B365E8" w:rsidRPr="00B365E8" w:rsidRDefault="00B365E8" w:rsidP="00CF07FE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jc w:val="both"/>
        <w:rPr>
          <w:sz w:val="21"/>
          <w:szCs w:val="21"/>
        </w:rPr>
      </w:pPr>
      <w:r w:rsidRPr="00B365E8">
        <w:rPr>
          <w:rFonts w:ascii="Century Gothic" w:hAnsi="Century Gothic" w:cs="Century Gothic"/>
          <w:sz w:val="21"/>
          <w:szCs w:val="21"/>
        </w:rPr>
        <w:t>Broad understanding of University policies and procedures.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8D7C2F" w:rsidRDefault="008D7C2F" w:rsidP="009C554C">
      <w:pPr>
        <w:rPr>
          <w:rFonts w:ascii="Century Gothic" w:hAnsi="Century Gothic"/>
          <w:b/>
          <w:sz w:val="21"/>
          <w:szCs w:val="21"/>
        </w:rPr>
      </w:pPr>
    </w:p>
    <w:p w:rsidR="008D7C2F" w:rsidRDefault="008D7C2F" w:rsidP="009C554C">
      <w:pPr>
        <w:rPr>
          <w:rFonts w:ascii="Century Gothic" w:hAnsi="Century Gothic"/>
          <w:b/>
          <w:sz w:val="21"/>
          <w:szCs w:val="21"/>
        </w:rPr>
      </w:pPr>
    </w:p>
    <w:p w:rsidR="008D7C2F" w:rsidRDefault="008D7C2F" w:rsidP="009C554C">
      <w:pPr>
        <w:rPr>
          <w:rFonts w:ascii="Century Gothic" w:hAnsi="Century Gothic"/>
          <w:b/>
          <w:sz w:val="21"/>
          <w:szCs w:val="21"/>
        </w:rPr>
      </w:pPr>
    </w:p>
    <w:p w:rsidR="008D7C2F" w:rsidRPr="0087473C" w:rsidRDefault="008D7C2F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lastRenderedPageBreak/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B365E8">
        <w:rPr>
          <w:rFonts w:ascii="Century Gothic" w:hAnsi="Century Gothic"/>
          <w:b/>
          <w:sz w:val="21"/>
          <w:szCs w:val="21"/>
        </w:rPr>
        <w:t xml:space="preserve"> </w:t>
      </w:r>
      <w:r w:rsidR="0087275A">
        <w:rPr>
          <w:rFonts w:ascii="Century Gothic" w:hAnsi="Century Gothic"/>
          <w:b/>
          <w:sz w:val="21"/>
          <w:szCs w:val="21"/>
        </w:rPr>
        <w:t>18 May</w:t>
      </w:r>
      <w:bookmarkStart w:id="0" w:name="_GoBack"/>
      <w:bookmarkEnd w:id="0"/>
      <w:r w:rsidR="00B365E8">
        <w:rPr>
          <w:rFonts w:ascii="Century Gothic" w:hAnsi="Century Gothic"/>
          <w:b/>
          <w:sz w:val="21"/>
          <w:szCs w:val="21"/>
        </w:rPr>
        <w:t xml:space="preserve">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B365E8">
        <w:rPr>
          <w:rFonts w:ascii="Century Gothic" w:hAnsi="Century Gothic"/>
          <w:b/>
          <w:sz w:val="21"/>
          <w:szCs w:val="21"/>
        </w:rPr>
        <w:t xml:space="preserve"> – ‘application form support’,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8D7C2F" w:rsidRPr="00BA02EF">
          <w:rPr>
            <w:rStyle w:val="Hyperlink"/>
            <w:rFonts w:ascii="Century Gothic" w:hAnsi="Century Gothic"/>
            <w:b/>
            <w:sz w:val="21"/>
            <w:szCs w:val="21"/>
          </w:rPr>
          <w:t>Recruitment-sm@ukzn.ac.za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27659"/>
    <w:multiLevelType w:val="hybridMultilevel"/>
    <w:tmpl w:val="03F8AC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D0251"/>
    <w:rsid w:val="0055352F"/>
    <w:rsid w:val="00595402"/>
    <w:rsid w:val="00612A35"/>
    <w:rsid w:val="006C1D2E"/>
    <w:rsid w:val="0077055F"/>
    <w:rsid w:val="008640E7"/>
    <w:rsid w:val="0087275A"/>
    <w:rsid w:val="0087473C"/>
    <w:rsid w:val="00883A12"/>
    <w:rsid w:val="008D7C2F"/>
    <w:rsid w:val="009C554C"/>
    <w:rsid w:val="009F238A"/>
    <w:rsid w:val="00AF5093"/>
    <w:rsid w:val="00B019F3"/>
    <w:rsid w:val="00B365E8"/>
    <w:rsid w:val="00B400A2"/>
    <w:rsid w:val="00BF2C54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7086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Footer">
    <w:name w:val="footer"/>
    <w:basedOn w:val="Normal"/>
    <w:link w:val="FooterChar"/>
    <w:rsid w:val="00B365E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rsid w:val="00B365E8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s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2018-05-02T14:07:00Z</dcterms:created>
  <dcterms:modified xsi:type="dcterms:W3CDTF">2018-05-02T14:07:00Z</dcterms:modified>
</cp:coreProperties>
</file>